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Unlock India's Elite Investment Frontier: SEBI's Accredited Investor Framework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SEBI's Accredited Investor (AI) framework creates a premium investment ecosystem for sophisticated investors, offering exclusive access to high-potential opportunities and fostering capital market growth.  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v6kmh3pyrigh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Why Become an Accredited Investor? (Key Benefits)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spacing w:after="0" w:afterAutospacing="0" w:before="48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Exclusive Access:</w:t>
      </w:r>
      <w:r w:rsidDel="00000000" w:rsidR="00000000" w:rsidRPr="00000000">
        <w:rPr>
          <w:rtl w:val="0"/>
        </w:rPr>
        <w:t xml:space="preserve"> Gain entry to specialized investments unavailable to the general public.   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Enhanced Diversification:</w:t>
      </w:r>
      <w:r w:rsidDel="00000000" w:rsidR="00000000" w:rsidRPr="00000000">
        <w:rPr>
          <w:rtl w:val="0"/>
        </w:rPr>
        <w:t xml:space="preserve"> Expand your portfolio beyond traditional assets.   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Higher Return Potential:</w:t>
      </w:r>
      <w:r w:rsidDel="00000000" w:rsidR="00000000" w:rsidRPr="00000000">
        <w:rPr>
          <w:rtl w:val="0"/>
        </w:rPr>
        <w:t xml:space="preserve"> Explore high-risk, high-reward avenues.   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Customized Terms:</w:t>
      </w:r>
      <w:r w:rsidDel="00000000" w:rsidR="00000000" w:rsidRPr="00000000">
        <w:rPr>
          <w:rtl w:val="0"/>
        </w:rPr>
        <w:t xml:space="preserve"> Benefit from tailored products and flexible tenures.   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Regulation-Light Framework:</w:t>
      </w:r>
      <w:r w:rsidDel="00000000" w:rsidR="00000000" w:rsidRPr="00000000">
        <w:rPr>
          <w:rtl w:val="0"/>
        </w:rPr>
        <w:t xml:space="preserve"> Enjoy certain regulatory concessions.   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spacing w:after="48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Lower Minimums:</w:t>
      </w:r>
      <w:r w:rsidDel="00000000" w:rsidR="00000000" w:rsidRPr="00000000">
        <w:rPr>
          <w:rtl w:val="0"/>
        </w:rPr>
        <w:t xml:space="preserve"> Access some products (e.g., SIFs) with reduced entry thresholds.  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wbd275rdl4r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Who Qualifies? (Eligibility Criteria - </w:t>
      </w:r>
      <w:r w:rsidDel="00000000" w:rsidR="00000000" w:rsidRPr="00000000">
        <w:rPr>
          <w:b w:val="1"/>
          <w:i w:val="1"/>
          <w:color w:val="000000"/>
          <w:sz w:val="26"/>
          <w:szCs w:val="26"/>
          <w:rtl w:val="0"/>
        </w:rPr>
        <w:t xml:space="preserve">Excludes Primary Residence Value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)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Individuals, HUFs, Family Trusts, Sole Proprietorships &amp; Partnerships:</w:t>
      </w: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Annual Income: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≥ ₹2 Crores</w:t>
      </w:r>
      <w:r w:rsidDel="00000000" w:rsidR="00000000" w:rsidRPr="00000000">
        <w:rPr>
          <w:rtl w:val="0"/>
        </w:rPr>
        <w:t xml:space="preserve"> OR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Net Worth: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≥ ₹7.5 Crores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(with ≥ ₹3.75 Crores in financial assets) OR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Combined: Annual Income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≥ ₹1 Crore</w:t>
      </w:r>
      <w:r w:rsidDel="00000000" w:rsidR="00000000" w:rsidRPr="00000000">
        <w:rPr>
          <w:rtl w:val="0"/>
        </w:rPr>
        <w:t xml:space="preserve"> AND Net Worth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≥ ₹5 Crores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(with ≥ ₹2.5 Crores in financial assets)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Body Corporates (Domestic Co./LLP) &amp; Trusts (other than Family Trust):</w:t>
      </w: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Net Worth: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≥ ₹50 Crores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7kezuhevlb2e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Accreditation Process: Seamless &amp; Digital Future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Current Landscape: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afterAutospacing="0" w:before="480" w:lineRule="auto"/>
        <w:ind w:left="720" w:hanging="360"/>
      </w:pPr>
      <w:r w:rsidDel="00000000" w:rsidR="00000000" w:rsidRPr="00000000">
        <w:rPr>
          <w:rtl w:val="0"/>
        </w:rPr>
        <w:t xml:space="preserve">Only 2 operational agencies: CDSL Ventures Ltd (CVL) &amp; NSDL Data Management Ltd (NDML).   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48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649 accredited investors as of May 29, 2025.   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Upcoming Enhancements: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48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Expansion of Agencies:</w:t>
      </w:r>
      <w:r w:rsidDel="00000000" w:rsidR="00000000" w:rsidRPr="00000000">
        <w:rPr>
          <w:rtl w:val="0"/>
        </w:rPr>
        <w:t xml:space="preserve"> All 5 SEBI-registered Know Your Client Registration Agencies (KRAs) will soon function as accreditation bodies.   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Reduces bottlenecks.   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Leverages existing KYC infrastructure.   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Fosters competitive pricing &amp; faster service.  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DigiLocker Integration:</w:t>
      </w: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Secure digital repository for verified documents (Aadhaar, PAN, ITRs).   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Enables seamless retrieval and verification of investor documents with consent.   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Aids digital KYC updates.  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Provisional Onboarding by AIF Managers:</w:t>
      </w: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Allows early execution of contribution agreements.   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after="48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Funds received </w:t>
      </w:r>
      <w:r w:rsidDel="00000000" w:rsidR="00000000" w:rsidRPr="00000000">
        <w:rPr>
          <w:i w:val="1"/>
          <w:rtl w:val="0"/>
        </w:rPr>
        <w:t xml:space="preserve">only after</w:t>
      </w:r>
      <w:r w:rsidDel="00000000" w:rsidR="00000000" w:rsidRPr="00000000">
        <w:rPr>
          <w:rtl w:val="0"/>
        </w:rPr>
        <w:t xml:space="preserve"> formal accreditation certificate is obtained.  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a2oubpdk60f3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Exclusive Investment Avenues for Accredited Investors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0" w:afterAutospacing="0" w:before="48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Alternative Investment Funds (AIFs):</w:t>
      </w:r>
      <w:r w:rsidDel="00000000" w:rsidR="00000000" w:rsidRPr="00000000">
        <w:rPr>
          <w:rtl w:val="0"/>
        </w:rPr>
        <w:t xml:space="preserve"> Access private equity, venture capital, hedge funds, and "Large Value Funds" with flexible tenures.   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Co-Investment Schemes (CIVs):</w:t>
      </w:r>
      <w:r w:rsidDel="00000000" w:rsidR="00000000" w:rsidRPr="00000000">
        <w:rPr>
          <w:rtl w:val="0"/>
        </w:rPr>
        <w:t xml:space="preserve"> Facilitated for AIs in Category I &amp; II AIFs with regulatory relaxations.   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Angel Funds:</w:t>
      </w:r>
      <w:r w:rsidDel="00000000" w:rsidR="00000000" w:rsidRPr="00000000">
        <w:rPr>
          <w:rtl w:val="0"/>
        </w:rPr>
        <w:t xml:space="preserve"> Now </w:t>
      </w:r>
      <w:r w:rsidDel="00000000" w:rsidR="00000000" w:rsidRPr="00000000">
        <w:rPr>
          <w:i w:val="1"/>
          <w:rtl w:val="0"/>
        </w:rPr>
        <w:t xml:space="preserve">exclusively</w:t>
      </w:r>
      <w:r w:rsidDel="00000000" w:rsidR="00000000" w:rsidRPr="00000000">
        <w:rPr>
          <w:rtl w:val="0"/>
        </w:rPr>
        <w:t xml:space="preserve"> for Accredited Investors. Features relaxed investment limits, no concentration cap, and increased investor limits.   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Specialized Investment Funds (SIFs):</w:t>
      </w:r>
      <w:r w:rsidDel="00000000" w:rsidR="00000000" w:rsidRPr="00000000">
        <w:rPr>
          <w:rtl w:val="0"/>
        </w:rPr>
        <w:t xml:space="preserve"> A new asset class (effective April 1, 2025) bridging Mutual Funds and PMS. Minimum investment of ₹10 lakhs, offering advanced strategies (e.g., long-short equity) and higher allocation limits.   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after="48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Other Avenues:</w:t>
      </w:r>
      <w:r w:rsidDel="00000000" w:rsidR="00000000" w:rsidRPr="00000000">
        <w:rPr>
          <w:rtl w:val="0"/>
        </w:rPr>
        <w:t xml:space="preserve"> Portfolio Management Services (PMS), Private Placements, High-Grade Corporate Bonds, Private Equity/Venture Capital, and other Alternative Assets.  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33qsamz0pcil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How to Get Started</w:t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spacing w:after="0" w:afterAutospacing="0" w:before="48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Confirm Eligibility:</w:t>
      </w:r>
      <w:r w:rsidDel="00000000" w:rsidR="00000000" w:rsidRPr="00000000">
        <w:rPr>
          <w:rtl w:val="0"/>
        </w:rPr>
        <w:t xml:space="preserve"> Use SEBI's criteria to assess your financial standing.   </w:t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Prepare Documents:</w:t>
      </w:r>
      <w:r w:rsidDel="00000000" w:rsidR="00000000" w:rsidRPr="00000000">
        <w:rPr>
          <w:rtl w:val="0"/>
        </w:rPr>
        <w:t xml:space="preserve"> Gather ITRs, Net Worth Certificate from a CA, PAN, and Aadhaar.   </w:t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Apply:</w:t>
      </w:r>
      <w:r w:rsidDel="00000000" w:rsidR="00000000" w:rsidRPr="00000000">
        <w:rPr>
          <w:rtl w:val="0"/>
        </w:rPr>
        <w:t xml:space="preserve"> Submit your application through SEBI-approved Accreditation Agencies (e.g., NDML, CVL, and soon all KRAs).   </w:t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spacing w:after="48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Leverage DigiLocker:</w:t>
      </w:r>
      <w:r w:rsidDel="00000000" w:rsidR="00000000" w:rsidRPr="00000000">
        <w:rPr>
          <w:rtl w:val="0"/>
        </w:rPr>
        <w:t xml:space="preserve"> Utilize DigiLocker for seamless and secure document submission.  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eongqgbvqvmh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Supporting India's Growth</w:t>
      </w:r>
    </w:p>
    <w:p w:rsidR="00000000" w:rsidDel="00000000" w:rsidP="00000000" w:rsidRDefault="00000000" w:rsidRPr="00000000" w14:paraId="0000003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Accredited Investors play a vital role in India's economic ascent by fueling high-growth startups and alternative sectors, aligning with the 'Atmanirbhar Bharat' vision and positioning India as a pre-eminent fund management hub. 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